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5D" w:rsidRPr="000D6C5D" w:rsidRDefault="000D6C5D" w:rsidP="000D6C5D">
      <w:pPr>
        <w:jc w:val="center"/>
        <w:rPr>
          <w:sz w:val="22"/>
          <w:szCs w:val="22"/>
        </w:rPr>
      </w:pPr>
      <w:r w:rsidRPr="000D6C5D">
        <w:rPr>
          <w:sz w:val="22"/>
          <w:szCs w:val="22"/>
        </w:rPr>
        <w:t>Declaration of Emergency and Authorization of Agreements for the Demolition and</w:t>
      </w:r>
    </w:p>
    <w:p w:rsidR="000D6C5D" w:rsidRPr="000D6C5D" w:rsidRDefault="000D6C5D" w:rsidP="000D6C5D">
      <w:pPr>
        <w:jc w:val="center"/>
        <w:rPr>
          <w:sz w:val="22"/>
          <w:szCs w:val="22"/>
        </w:rPr>
      </w:pPr>
      <w:r w:rsidRPr="000D6C5D">
        <w:rPr>
          <w:sz w:val="22"/>
          <w:szCs w:val="22"/>
        </w:rPr>
        <w:t>Removal of Unsafe Structure at 13 Market Street, Alexandria Bay</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 xml:space="preserve">By Legislator: </w:t>
      </w:r>
      <w:r w:rsidRPr="000D6C5D">
        <w:rPr>
          <w:sz w:val="22"/>
          <w:szCs w:val="22"/>
          <w:u w:val="single"/>
        </w:rPr>
        <w:t xml:space="preserve">                              </w:t>
      </w:r>
      <w:r w:rsidRPr="000D6C5D">
        <w:rPr>
          <w:sz w:val="22"/>
          <w:szCs w:val="22"/>
        </w:rPr>
        <w:t xml:space="preserve">                         </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The Director of the Jefferson County Fire Prevention and Building Code Office has investigated the premises located at 13 Market Street in the Village of Alexandria Bay (the "Premises"), and</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The investigation has revealed that the roof of the structure on said Premises collapsed in March of 2025, and that the structure presents a danger to the health, safety, morals, and general welfare of the public and is unfit for the purposes for which it may be lawfully used, and</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Local Law No. 6 of 2025 “A Local Law Providing for the Repair or Removal of Unsafe Buildings, Unsafe Equipment and Collapsed Structures”, authorizes the Board of Legislators to take immediate action where there is a clear and imminent danger to life, safety, or health of any person or property, and</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Due to the complexity of the demolition required by the shared walls and structural connections, professional engineering services are required to ensure the safety of the public and adjacent properties during the removal of said structure, and</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Immediate action is required to abate this hazardous condition, constituting an emergency, and</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Whereas, Funds are available within the Property Remediation Account: 20698900 02060, Project: 13 Market.</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Now, Therefore, Be It Resolved, The Jefferson County Board of Legislators hereby concurs with the Report of the Code Enforcement Officer that the structure on said Premises presents a danger to the health, safety, morals, and general welfare of the public and is unfit for the purposes for which it may be lawfully used, and be it further</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Resolved, That the Jefferson County Board of Legislators hereby finds and declares that the condition of the structure constitutes an emergency case pursuant to Section 13 of Local Law No. 6 of 2025, presenting a clear and imminent danger to life, safety, or health, and be it further</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Resolved, That pursuant to Section 13 of said Local Law, the Code Enforcement Officer is hereby authorized to immediately cause the demolition and removal of such unsafe structure, and be it further</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 xml:space="preserve">Resolved, That the Chairman of the Board of Legislators is hereby authorized and directed to execute an agreement with Barton &amp; </w:t>
      </w:r>
      <w:proofErr w:type="spellStart"/>
      <w:r w:rsidRPr="000D6C5D">
        <w:rPr>
          <w:sz w:val="22"/>
          <w:szCs w:val="22"/>
        </w:rPr>
        <w:t>Loguidice</w:t>
      </w:r>
      <w:proofErr w:type="spellEnd"/>
      <w:r w:rsidRPr="000D6C5D">
        <w:rPr>
          <w:sz w:val="22"/>
          <w:szCs w:val="22"/>
        </w:rPr>
        <w:t xml:space="preserve"> for professional engineering and project management services related to said demolition, in an amount not to exceed $__________, subject to approval by the County Attorney as to form and content, and be it further</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Resolved, That the Chairman of the Board of Legislators is hereby authorized and directed to execute an agreement with Bronze Contracting for the demolition and removal of said structure, in an amount not to exceed $__________, subject to approval by the County Attorney as to form and content, and be it further</w:t>
      </w:r>
    </w:p>
    <w:p w:rsidR="000D6C5D" w:rsidRPr="000D6C5D" w:rsidRDefault="000D6C5D" w:rsidP="000D6C5D">
      <w:pPr>
        <w:rPr>
          <w:sz w:val="22"/>
          <w:szCs w:val="22"/>
        </w:rPr>
      </w:pPr>
    </w:p>
    <w:p w:rsidR="000D6C5D" w:rsidRPr="000D6C5D" w:rsidRDefault="000D6C5D" w:rsidP="000D6C5D">
      <w:pPr>
        <w:rPr>
          <w:sz w:val="22"/>
          <w:szCs w:val="22"/>
        </w:rPr>
      </w:pPr>
      <w:r w:rsidRPr="000D6C5D">
        <w:rPr>
          <w:sz w:val="22"/>
          <w:szCs w:val="22"/>
        </w:rPr>
        <w:t>Resolved, That the expenses of such demolition, including all professional services and legal expenses incidental thereto, shall be a charge against the land on which it is located and shall be assessed, levied, and collected as provided in Section 12 (1) of Local Law No. 6 of 2025.</w:t>
      </w:r>
    </w:p>
    <w:p w:rsidR="000D6C5D" w:rsidRPr="000D6C5D" w:rsidRDefault="000D6C5D" w:rsidP="000D6C5D">
      <w:pPr>
        <w:rPr>
          <w:sz w:val="22"/>
          <w:szCs w:val="22"/>
        </w:rPr>
      </w:pPr>
    </w:p>
    <w:p w:rsidR="007808BC" w:rsidRDefault="000D6C5D" w:rsidP="001F2C08">
      <w:pPr>
        <w:rPr>
          <w:sz w:val="22"/>
          <w:szCs w:val="22"/>
          <w:u w:val="single"/>
        </w:rPr>
      </w:pPr>
      <w:r w:rsidRPr="000D6C5D">
        <w:rPr>
          <w:sz w:val="22"/>
          <w:szCs w:val="22"/>
        </w:rPr>
        <w:t xml:space="preserve">Seconded by Legislator: </w:t>
      </w:r>
      <w:r w:rsidRPr="000D6C5D">
        <w:rPr>
          <w:sz w:val="22"/>
          <w:szCs w:val="22"/>
          <w:u w:val="single"/>
        </w:rPr>
        <w:t xml:space="preserve">                              </w:t>
      </w:r>
    </w:p>
    <w:p w:rsidR="000D6C5D" w:rsidRPr="000D6C5D" w:rsidRDefault="000D6C5D" w:rsidP="001F2C08">
      <w:pPr>
        <w:rPr>
          <w:sz w:val="22"/>
          <w:szCs w:val="22"/>
          <w:u w:val="single"/>
        </w:rPr>
      </w:pPr>
      <w:bookmarkStart w:id="0" w:name="_GoBack"/>
      <w:bookmarkEnd w:id="0"/>
    </w:p>
    <w:sectPr w:rsidR="000D6C5D" w:rsidRPr="000D6C5D" w:rsidSect="000D6C5D">
      <w:headerReference w:type="default" r:id="rId7"/>
      <w:footerReference w:type="default" r:id="rId8"/>
      <w:headerReference w:type="first" r:id="rId9"/>
      <w:pgSz w:w="12240" w:h="15840"/>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DB" w:rsidRDefault="00D17DDB" w:rsidP="00D17DDB">
      <w:r>
        <w:separator/>
      </w:r>
    </w:p>
  </w:endnote>
  <w:endnote w:type="continuationSeparator" w:id="0">
    <w:p w:rsidR="00D17DDB" w:rsidRDefault="00D17DDB" w:rsidP="00D1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8BC" w:rsidRDefault="007808BC" w:rsidP="007808BC">
    <w:pPr>
      <w:spacing w:line="240" w:lineRule="exact"/>
    </w:pPr>
  </w:p>
  <w:p w:rsidR="007808BC" w:rsidRDefault="000D6C5D" w:rsidP="007808BC">
    <w:pPr>
      <w:spacing w:line="19" w:lineRule="exact"/>
      <w:ind w:left="-720" w:right="-720"/>
    </w:pPr>
    <w:r>
      <w:rPr>
        <w:noProof/>
      </w:rPr>
      <w:pict>
        <v:rect id="_x0000_s2049" style="position:absolute;left:0;text-align:left;margin-left:36pt;margin-top:0;width:540pt;height:.95pt;z-index:-251657216;mso-position-horizontal-relative:page;mso-position-vertical-relative:text" o:allowincell="f" fillcolor="black" stroked="f" strokeweight="0">
          <v:fill color2="black"/>
          <w10:wrap anchorx="page"/>
          <w10:anchorlock/>
        </v:rect>
      </w:pict>
    </w:r>
  </w:p>
  <w:tbl>
    <w:tblPr>
      <w:tblW w:w="0" w:type="auto"/>
      <w:tblInd w:w="-720" w:type="dxa"/>
      <w:tblLayout w:type="fixed"/>
      <w:tblCellMar>
        <w:left w:w="0" w:type="dxa"/>
        <w:right w:w="0" w:type="dxa"/>
      </w:tblCellMar>
      <w:tblLook w:val="0000" w:firstRow="0" w:lastRow="0" w:firstColumn="0" w:lastColumn="0" w:noHBand="0" w:noVBand="0"/>
    </w:tblPr>
    <w:tblGrid>
      <w:gridCol w:w="2636"/>
      <w:gridCol w:w="20"/>
      <w:gridCol w:w="653"/>
      <w:gridCol w:w="20"/>
      <w:gridCol w:w="7473"/>
    </w:tblGrid>
    <w:tr w:rsidR="007808BC" w:rsidTr="00CC47B2">
      <w:tc>
        <w:tcPr>
          <w:tcW w:w="2636" w:type="dxa"/>
          <w:tcBorders>
            <w:top w:val="nil"/>
            <w:left w:val="nil"/>
            <w:bottom w:val="nil"/>
            <w:right w:val="nil"/>
          </w:tcBorders>
        </w:tcPr>
        <w:p w:rsidR="007808BC" w:rsidRDefault="007808BC" w:rsidP="007808BC">
          <w:pPr>
            <w:spacing w:line="144" w:lineRule="auto"/>
            <w:rPr>
              <w:b/>
              <w:bCs/>
              <w:sz w:val="20"/>
              <w:szCs w:val="20"/>
            </w:rPr>
          </w:pPr>
          <w:r>
            <w:rPr>
              <w:b/>
              <w:bCs/>
              <w:sz w:val="20"/>
              <w:szCs w:val="20"/>
            </w:rPr>
            <w:t xml:space="preserve"> </w:t>
          </w:r>
        </w:p>
        <w:p w:rsidR="007808BC" w:rsidRDefault="007808BC" w:rsidP="007808BC">
          <w:pPr>
            <w:spacing w:line="192" w:lineRule="auto"/>
            <w:rPr>
              <w:b/>
              <w:bCs/>
              <w:sz w:val="20"/>
              <w:szCs w:val="20"/>
            </w:rPr>
          </w:pPr>
          <w:r>
            <w:rPr>
              <w:b/>
              <w:bCs/>
              <w:sz w:val="20"/>
              <w:szCs w:val="20"/>
            </w:rPr>
            <w:t>State of New York     )</w:t>
          </w:r>
        </w:p>
        <w:p w:rsidR="007808BC" w:rsidRDefault="007808BC" w:rsidP="007808BC">
          <w:pPr>
            <w:spacing w:line="190" w:lineRule="auto"/>
            <w:rPr>
              <w:b/>
              <w:bCs/>
              <w:sz w:val="20"/>
              <w:szCs w:val="20"/>
            </w:rPr>
          </w:pPr>
          <w:r>
            <w:rPr>
              <w:b/>
              <w:bCs/>
              <w:sz w:val="20"/>
              <w:szCs w:val="20"/>
            </w:rPr>
            <w:t xml:space="preserve">                        ) ss.:</w:t>
          </w:r>
        </w:p>
        <w:p w:rsidR="007808BC" w:rsidRDefault="007808BC" w:rsidP="007808BC">
          <w:pPr>
            <w:spacing w:line="191" w:lineRule="auto"/>
            <w:rPr>
              <w:b/>
              <w:bCs/>
              <w:sz w:val="26"/>
              <w:szCs w:val="26"/>
            </w:rPr>
          </w:pPr>
          <w:r>
            <w:rPr>
              <w:b/>
              <w:bCs/>
              <w:sz w:val="20"/>
              <w:szCs w:val="20"/>
            </w:rPr>
            <w:t>County of Jefferson    )</w:t>
          </w:r>
        </w:p>
        <w:p w:rsidR="007808BC" w:rsidRDefault="007808BC" w:rsidP="007808BC">
          <w:pPr>
            <w:spacing w:line="191" w:lineRule="auto"/>
            <w:rPr>
              <w:b/>
              <w:bCs/>
              <w:sz w:val="26"/>
              <w:szCs w:val="26"/>
            </w:rPr>
          </w:pPr>
        </w:p>
        <w:p w:rsidR="007808BC" w:rsidRDefault="007808BC" w:rsidP="007808BC">
          <w:pPr>
            <w:spacing w:line="191" w:lineRule="auto"/>
            <w:rPr>
              <w:b/>
              <w:bCs/>
              <w:sz w:val="26"/>
              <w:szCs w:val="26"/>
            </w:rPr>
          </w:pPr>
        </w:p>
        <w:p w:rsidR="007808BC" w:rsidRDefault="007808BC" w:rsidP="007808BC">
          <w:pPr>
            <w:spacing w:line="191" w:lineRule="auto"/>
            <w:rPr>
              <w:sz w:val="26"/>
              <w:szCs w:val="26"/>
            </w:rPr>
          </w:pPr>
        </w:p>
        <w:p w:rsidR="007808BC" w:rsidRDefault="007808BC" w:rsidP="007808BC">
          <w:pPr>
            <w:spacing w:line="191" w:lineRule="auto"/>
            <w:rPr>
              <w:sz w:val="26"/>
              <w:szCs w:val="26"/>
            </w:rPr>
          </w:pPr>
        </w:p>
        <w:p w:rsidR="007808BC" w:rsidRDefault="007808BC" w:rsidP="007808BC">
          <w:pPr>
            <w:spacing w:line="191" w:lineRule="auto"/>
            <w:rPr>
              <w:sz w:val="26"/>
              <w:szCs w:val="26"/>
            </w:rPr>
          </w:pPr>
        </w:p>
      </w:tc>
      <w:tc>
        <w:tcPr>
          <w:tcW w:w="17" w:type="dxa"/>
          <w:tcBorders>
            <w:top w:val="nil"/>
            <w:left w:val="nil"/>
            <w:bottom w:val="nil"/>
            <w:right w:val="nil"/>
          </w:tcBorders>
        </w:tcPr>
        <w:p w:rsidR="007808BC" w:rsidRDefault="007808BC" w:rsidP="007808BC">
          <w:pPr>
            <w:rPr>
              <w:sz w:val="26"/>
              <w:szCs w:val="26"/>
            </w:rPr>
          </w:pPr>
        </w:p>
      </w:tc>
      <w:tc>
        <w:tcPr>
          <w:tcW w:w="653" w:type="dxa"/>
          <w:tcBorders>
            <w:top w:val="nil"/>
            <w:left w:val="nil"/>
            <w:bottom w:val="nil"/>
            <w:right w:val="nil"/>
          </w:tcBorders>
        </w:tcPr>
        <w:p w:rsidR="007808BC" w:rsidRDefault="007808BC" w:rsidP="007808BC">
          <w:pPr>
            <w:spacing w:line="191" w:lineRule="auto"/>
            <w:rPr>
              <w:b/>
              <w:bCs/>
              <w:sz w:val="26"/>
              <w:szCs w:val="26"/>
            </w:rPr>
          </w:pPr>
        </w:p>
        <w:p w:rsidR="007808BC" w:rsidRDefault="007808BC" w:rsidP="007808BC">
          <w:pPr>
            <w:spacing w:line="191" w:lineRule="auto"/>
            <w:rPr>
              <w:b/>
              <w:bCs/>
              <w:sz w:val="26"/>
              <w:szCs w:val="26"/>
            </w:rPr>
          </w:pPr>
        </w:p>
        <w:p w:rsidR="007808BC" w:rsidRDefault="007808BC" w:rsidP="007808BC">
          <w:pPr>
            <w:spacing w:line="191" w:lineRule="auto"/>
            <w:rPr>
              <w:b/>
              <w:bCs/>
              <w:sz w:val="26"/>
              <w:szCs w:val="26"/>
            </w:rPr>
          </w:pPr>
        </w:p>
        <w:p w:rsidR="007808BC" w:rsidRDefault="007808BC" w:rsidP="007808BC">
          <w:pPr>
            <w:spacing w:line="191" w:lineRule="auto"/>
            <w:rPr>
              <w:b/>
              <w:bCs/>
            </w:rPr>
          </w:pPr>
        </w:p>
        <w:p w:rsidR="007808BC" w:rsidRDefault="007808BC" w:rsidP="007808BC">
          <w:pPr>
            <w:spacing w:line="190" w:lineRule="auto"/>
            <w:jc w:val="both"/>
            <w:rPr>
              <w:sz w:val="20"/>
              <w:szCs w:val="20"/>
            </w:rPr>
          </w:pPr>
        </w:p>
      </w:tc>
      <w:tc>
        <w:tcPr>
          <w:tcW w:w="17" w:type="dxa"/>
          <w:tcBorders>
            <w:top w:val="nil"/>
            <w:left w:val="nil"/>
            <w:bottom w:val="nil"/>
            <w:right w:val="nil"/>
          </w:tcBorders>
        </w:tcPr>
        <w:p w:rsidR="007808BC" w:rsidRDefault="007808BC" w:rsidP="007808BC">
          <w:pPr>
            <w:rPr>
              <w:sz w:val="20"/>
              <w:szCs w:val="20"/>
            </w:rPr>
          </w:pPr>
        </w:p>
      </w:tc>
      <w:tc>
        <w:tcPr>
          <w:tcW w:w="7473" w:type="dxa"/>
          <w:tcBorders>
            <w:top w:val="nil"/>
            <w:left w:val="nil"/>
            <w:bottom w:val="nil"/>
            <w:right w:val="nil"/>
          </w:tcBorders>
        </w:tcPr>
        <w:p w:rsidR="007808BC" w:rsidRDefault="007808BC" w:rsidP="007808BC">
          <w:pPr>
            <w:spacing w:line="190" w:lineRule="auto"/>
            <w:jc w:val="both"/>
            <w:rPr>
              <w:sz w:val="20"/>
              <w:szCs w:val="20"/>
            </w:rPr>
          </w:pPr>
        </w:p>
        <w:p w:rsidR="007808BC" w:rsidRDefault="007808BC" w:rsidP="007808BC">
          <w:pPr>
            <w:spacing w:line="190" w:lineRule="auto"/>
            <w:jc w:val="both"/>
            <w:rPr>
              <w:sz w:val="20"/>
              <w:szCs w:val="20"/>
            </w:rPr>
          </w:pPr>
        </w:p>
        <w:p w:rsidR="007808BC" w:rsidRDefault="007808BC" w:rsidP="007808BC">
          <w:pPr>
            <w:spacing w:line="190" w:lineRule="auto"/>
            <w:jc w:val="both"/>
            <w:rPr>
              <w:sz w:val="20"/>
              <w:szCs w:val="20"/>
            </w:rPr>
          </w:pPr>
        </w:p>
        <w:p w:rsidR="007808BC" w:rsidRDefault="007808BC" w:rsidP="007808BC">
          <w:pPr>
            <w:spacing w:line="190" w:lineRule="auto"/>
            <w:jc w:val="both"/>
            <w:rPr>
              <w:sz w:val="20"/>
              <w:szCs w:val="20"/>
            </w:rPr>
          </w:pPr>
        </w:p>
        <w:p w:rsidR="007808BC" w:rsidRDefault="007808BC" w:rsidP="007808BC">
          <w:pPr>
            <w:spacing w:line="214" w:lineRule="auto"/>
            <w:jc w:val="both"/>
            <w:rPr>
              <w:sz w:val="20"/>
              <w:szCs w:val="20"/>
            </w:rPr>
          </w:pPr>
        </w:p>
        <w:p w:rsidR="007808BC" w:rsidRDefault="007808BC" w:rsidP="007808BC">
          <w:pPr>
            <w:spacing w:line="214" w:lineRule="auto"/>
            <w:jc w:val="both"/>
            <w:rPr>
              <w:sz w:val="16"/>
              <w:szCs w:val="16"/>
            </w:rPr>
          </w:pPr>
        </w:p>
        <w:p w:rsidR="007808BC" w:rsidRDefault="007808BC" w:rsidP="007808BC">
          <w:pPr>
            <w:spacing w:line="214" w:lineRule="auto"/>
            <w:jc w:val="both"/>
            <w:rPr>
              <w:b/>
              <w:bCs/>
              <w:sz w:val="16"/>
              <w:szCs w:val="16"/>
            </w:rPr>
          </w:pPr>
          <w:r>
            <w:rPr>
              <w:b/>
              <w:bCs/>
              <w:sz w:val="16"/>
              <w:szCs w:val="16"/>
            </w:rPr>
            <w:t xml:space="preserve">    I, the undersigned, Clerk of the Board of Legislators of the County of Jefferson, New York, do hereby certify that I have compared the foregoing copy of Resolution No. _____ of the Board of Legislators of said County of Jefferson with the original thereof on file in my office and duly adopted by said Board at a meeting of said Board on the _______ day of ____________________, 20____ and that the same is a true and correct copy of such Resolution and the whole thereof.</w:t>
          </w:r>
        </w:p>
        <w:p w:rsidR="007808BC" w:rsidRDefault="007808BC" w:rsidP="007808BC">
          <w:pPr>
            <w:spacing w:line="214" w:lineRule="auto"/>
            <w:jc w:val="both"/>
            <w:rPr>
              <w:b/>
              <w:bCs/>
              <w:sz w:val="16"/>
              <w:szCs w:val="16"/>
            </w:rPr>
          </w:pPr>
        </w:p>
        <w:p w:rsidR="007808BC" w:rsidRDefault="007808BC" w:rsidP="007808BC">
          <w:pPr>
            <w:spacing w:line="214" w:lineRule="auto"/>
            <w:jc w:val="both"/>
            <w:rPr>
              <w:b/>
              <w:bCs/>
              <w:sz w:val="16"/>
              <w:szCs w:val="16"/>
            </w:rPr>
          </w:pPr>
          <w:r>
            <w:rPr>
              <w:b/>
              <w:bCs/>
              <w:sz w:val="16"/>
              <w:szCs w:val="16"/>
            </w:rPr>
            <w:t xml:space="preserve">    In testimony whereof, I have hereunto set my hand and affixed the seal of said County this _______ day of _________________, 20 ____.</w:t>
          </w:r>
        </w:p>
        <w:p w:rsidR="007808BC" w:rsidRDefault="007808BC" w:rsidP="007808BC">
          <w:pPr>
            <w:spacing w:line="214" w:lineRule="auto"/>
            <w:jc w:val="both"/>
            <w:rPr>
              <w:b/>
              <w:bCs/>
              <w:sz w:val="16"/>
              <w:szCs w:val="16"/>
            </w:rPr>
          </w:pPr>
        </w:p>
        <w:p w:rsidR="007808BC" w:rsidRDefault="007808BC" w:rsidP="007808BC">
          <w:pPr>
            <w:spacing w:line="214" w:lineRule="auto"/>
            <w:jc w:val="both"/>
            <w:rPr>
              <w:b/>
              <w:bCs/>
              <w:sz w:val="16"/>
              <w:szCs w:val="16"/>
            </w:rPr>
          </w:pPr>
        </w:p>
        <w:p w:rsidR="007808BC" w:rsidRDefault="007808BC" w:rsidP="007808BC">
          <w:pPr>
            <w:spacing w:line="214" w:lineRule="auto"/>
            <w:ind w:left="-720" w:right="-720" w:firstLine="2160"/>
            <w:jc w:val="both"/>
            <w:rPr>
              <w:b/>
              <w:bCs/>
              <w:sz w:val="16"/>
              <w:szCs w:val="16"/>
            </w:rPr>
          </w:pPr>
          <w:r>
            <w:rPr>
              <w:b/>
              <w:bCs/>
              <w:sz w:val="16"/>
              <w:szCs w:val="16"/>
            </w:rPr>
            <w:t xml:space="preserve">     </w:t>
          </w:r>
          <w:r>
            <w:rPr>
              <w:b/>
              <w:bCs/>
              <w:sz w:val="16"/>
              <w:szCs w:val="16"/>
            </w:rPr>
            <w:tab/>
          </w:r>
          <w:r>
            <w:rPr>
              <w:b/>
              <w:bCs/>
              <w:sz w:val="16"/>
              <w:szCs w:val="16"/>
            </w:rPr>
            <w:tab/>
            <w:t xml:space="preserve">         ______________</w:t>
          </w:r>
          <w:r>
            <w:rPr>
              <w:b/>
              <w:bCs/>
              <w:sz w:val="16"/>
              <w:szCs w:val="16"/>
            </w:rPr>
            <w:softHyphen/>
          </w:r>
          <w:r>
            <w:rPr>
              <w:b/>
              <w:bCs/>
              <w:sz w:val="16"/>
              <w:szCs w:val="16"/>
            </w:rPr>
            <w:softHyphen/>
          </w:r>
          <w:r>
            <w:rPr>
              <w:b/>
              <w:bCs/>
              <w:sz w:val="16"/>
              <w:szCs w:val="16"/>
            </w:rPr>
            <w:softHyphen/>
          </w:r>
          <w:r>
            <w:rPr>
              <w:b/>
              <w:bCs/>
              <w:sz w:val="16"/>
              <w:szCs w:val="16"/>
            </w:rPr>
            <w:softHyphen/>
            <w:t>___________________________________</w:t>
          </w:r>
        </w:p>
        <w:p w:rsidR="007808BC" w:rsidRDefault="007808BC" w:rsidP="007808BC">
          <w:pPr>
            <w:spacing w:line="214" w:lineRule="auto"/>
            <w:ind w:left="-720" w:right="-720" w:firstLine="2160"/>
            <w:jc w:val="both"/>
            <w:rPr>
              <w:sz w:val="20"/>
              <w:szCs w:val="20"/>
            </w:rPr>
          </w:pPr>
          <w:r>
            <w:rPr>
              <w:b/>
              <w:bCs/>
              <w:sz w:val="16"/>
              <w:szCs w:val="16"/>
            </w:rPr>
            <w:t xml:space="preserve">                       </w:t>
          </w:r>
          <w:r>
            <w:rPr>
              <w:b/>
              <w:bCs/>
              <w:sz w:val="16"/>
              <w:szCs w:val="16"/>
            </w:rPr>
            <w:tab/>
          </w:r>
          <w:r>
            <w:rPr>
              <w:b/>
              <w:bCs/>
              <w:sz w:val="16"/>
              <w:szCs w:val="16"/>
            </w:rPr>
            <w:tab/>
            <w:t xml:space="preserve"> Clerk of the Board of Legislators</w:t>
          </w:r>
        </w:p>
      </w:tc>
    </w:tr>
    <w:tr w:rsidR="007808BC" w:rsidTr="00CC47B2">
      <w:tc>
        <w:tcPr>
          <w:tcW w:w="2636" w:type="dxa"/>
          <w:tcBorders>
            <w:top w:val="nil"/>
            <w:left w:val="nil"/>
            <w:bottom w:val="nil"/>
            <w:right w:val="nil"/>
          </w:tcBorders>
        </w:tcPr>
        <w:p w:rsidR="007808BC" w:rsidRDefault="007808BC" w:rsidP="007808BC">
          <w:pPr>
            <w:ind w:left="-720" w:right="-720"/>
            <w:jc w:val="both"/>
            <w:rPr>
              <w:sz w:val="20"/>
              <w:szCs w:val="20"/>
            </w:rPr>
          </w:pPr>
        </w:p>
      </w:tc>
      <w:tc>
        <w:tcPr>
          <w:tcW w:w="17" w:type="dxa"/>
          <w:tcBorders>
            <w:top w:val="nil"/>
            <w:left w:val="nil"/>
            <w:bottom w:val="nil"/>
            <w:right w:val="nil"/>
          </w:tcBorders>
        </w:tcPr>
        <w:p w:rsidR="007808BC" w:rsidRDefault="007808BC" w:rsidP="007808BC">
          <w:pPr>
            <w:ind w:left="-720" w:right="-720"/>
            <w:jc w:val="both"/>
            <w:rPr>
              <w:sz w:val="20"/>
              <w:szCs w:val="20"/>
            </w:rPr>
          </w:pPr>
        </w:p>
      </w:tc>
      <w:tc>
        <w:tcPr>
          <w:tcW w:w="653" w:type="dxa"/>
          <w:tcBorders>
            <w:top w:val="nil"/>
            <w:left w:val="nil"/>
            <w:bottom w:val="nil"/>
            <w:right w:val="nil"/>
          </w:tcBorders>
        </w:tcPr>
        <w:p w:rsidR="007808BC" w:rsidRDefault="007808BC" w:rsidP="007808BC">
          <w:pPr>
            <w:ind w:left="-720" w:right="-720"/>
            <w:jc w:val="both"/>
            <w:rPr>
              <w:sz w:val="20"/>
              <w:szCs w:val="20"/>
            </w:rPr>
          </w:pPr>
        </w:p>
      </w:tc>
      <w:tc>
        <w:tcPr>
          <w:tcW w:w="17" w:type="dxa"/>
          <w:tcBorders>
            <w:top w:val="nil"/>
            <w:left w:val="nil"/>
            <w:bottom w:val="nil"/>
            <w:right w:val="nil"/>
          </w:tcBorders>
        </w:tcPr>
        <w:p w:rsidR="007808BC" w:rsidRDefault="007808BC" w:rsidP="007808BC">
          <w:pPr>
            <w:ind w:left="-720" w:right="-720"/>
            <w:jc w:val="both"/>
            <w:rPr>
              <w:sz w:val="20"/>
              <w:szCs w:val="20"/>
            </w:rPr>
          </w:pPr>
        </w:p>
      </w:tc>
      <w:tc>
        <w:tcPr>
          <w:tcW w:w="7473" w:type="dxa"/>
          <w:tcBorders>
            <w:top w:val="nil"/>
            <w:left w:val="nil"/>
            <w:bottom w:val="nil"/>
            <w:right w:val="nil"/>
          </w:tcBorders>
        </w:tcPr>
        <w:p w:rsidR="007808BC" w:rsidRDefault="007808BC" w:rsidP="007808BC">
          <w:pPr>
            <w:ind w:left="-720" w:right="-720"/>
            <w:jc w:val="both"/>
            <w:rPr>
              <w:sz w:val="20"/>
              <w:szCs w:val="20"/>
            </w:rPr>
          </w:pPr>
        </w:p>
      </w:tc>
    </w:tr>
  </w:tbl>
  <w:p w:rsidR="007808BC" w:rsidRDefault="000D6C5D" w:rsidP="007808BC">
    <w:pPr>
      <w:spacing w:line="19" w:lineRule="exact"/>
      <w:ind w:left="-720" w:right="-720"/>
      <w:jc w:val="both"/>
      <w:rPr>
        <w:sz w:val="20"/>
        <w:szCs w:val="20"/>
      </w:rPr>
    </w:pPr>
    <w:r>
      <w:rPr>
        <w:noProof/>
      </w:rPr>
      <w:pict>
        <v:rect id="_x0000_s2050" style="position:absolute;left:0;text-align:left;margin-left:36pt;margin-top:0;width:540pt;height:.95pt;z-index:-251656192;mso-position-horizontal-relative:page;mso-position-vertical-relative:text" o:allowincell="f" fillcolor="black" stroked="f" strokeweight="0">
          <v:fill color2="black"/>
          <w10:wrap anchorx="page"/>
          <w10:anchorlock/>
        </v:rect>
      </w:pict>
    </w:r>
  </w:p>
  <w:p w:rsidR="007808BC" w:rsidRDefault="0078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DB" w:rsidRDefault="00D17DDB" w:rsidP="00D17DDB">
      <w:r>
        <w:separator/>
      </w:r>
    </w:p>
  </w:footnote>
  <w:footnote w:type="continuationSeparator" w:id="0">
    <w:p w:rsidR="00D17DDB" w:rsidRDefault="00D17DDB" w:rsidP="00D1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DB" w:rsidRDefault="00D17DDB">
    <w:pPr>
      <w:spacing w:line="240" w:lineRule="exac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663" w:rsidRDefault="00DB0663" w:rsidP="00DB0663">
    <w:pPr>
      <w:tabs>
        <w:tab w:val="center" w:pos="4680"/>
      </w:tabs>
      <w:rPr>
        <w:b/>
        <w:bCs/>
        <w:i/>
        <w:iCs/>
        <w:sz w:val="28"/>
        <w:szCs w:val="28"/>
      </w:rPr>
    </w:pPr>
    <w:r>
      <w:rPr>
        <w:sz w:val="28"/>
        <w:szCs w:val="28"/>
      </w:rPr>
      <w:tab/>
    </w:r>
    <w:r>
      <w:rPr>
        <w:b/>
        <w:bCs/>
        <w:i/>
        <w:iCs/>
        <w:sz w:val="28"/>
        <w:szCs w:val="28"/>
      </w:rPr>
      <w:t>JEFFERSON COUNTY BOARD OF LEGISLATORS</w:t>
    </w:r>
  </w:p>
  <w:p w:rsidR="00DB0663" w:rsidRDefault="00DB0663" w:rsidP="00DB0663">
    <w:pPr>
      <w:tabs>
        <w:tab w:val="center" w:pos="4680"/>
      </w:tabs>
      <w:rPr>
        <w:sz w:val="28"/>
        <w:szCs w:val="28"/>
      </w:rPr>
    </w:pPr>
    <w:r>
      <w:rPr>
        <w:b/>
        <w:bCs/>
        <w:i/>
        <w:iCs/>
        <w:sz w:val="28"/>
        <w:szCs w:val="28"/>
      </w:rPr>
      <w:tab/>
      <w:t>Resolution No. ________</w:t>
    </w:r>
  </w:p>
  <w:p w:rsidR="00DB0663" w:rsidRDefault="00DB0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DDB"/>
    <w:rsid w:val="000D6C5D"/>
    <w:rsid w:val="001F2C08"/>
    <w:rsid w:val="00305F05"/>
    <w:rsid w:val="004D571C"/>
    <w:rsid w:val="005F72E5"/>
    <w:rsid w:val="00715CCB"/>
    <w:rsid w:val="007808BC"/>
    <w:rsid w:val="00861478"/>
    <w:rsid w:val="00915B91"/>
    <w:rsid w:val="009D0BE6"/>
    <w:rsid w:val="00B47FC5"/>
    <w:rsid w:val="00D17DDB"/>
    <w:rsid w:val="00DB0663"/>
    <w:rsid w:val="00F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75007ED"/>
  <w14:defaultImageDpi w14:val="0"/>
  <w15:docId w15:val="{B740ADDE-4553-49E2-9DAD-D5C677FA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808BC"/>
    <w:pPr>
      <w:tabs>
        <w:tab w:val="center" w:pos="4680"/>
        <w:tab w:val="right" w:pos="9360"/>
      </w:tabs>
    </w:pPr>
  </w:style>
  <w:style w:type="character" w:customStyle="1" w:styleId="HeaderChar">
    <w:name w:val="Header Char"/>
    <w:basedOn w:val="DefaultParagraphFont"/>
    <w:link w:val="Header"/>
    <w:uiPriority w:val="99"/>
    <w:rsid w:val="007808BC"/>
    <w:rPr>
      <w:rFonts w:ascii="Times New Roman" w:hAnsi="Times New Roman" w:cs="Times New Roman"/>
      <w:sz w:val="24"/>
      <w:szCs w:val="24"/>
    </w:rPr>
  </w:style>
  <w:style w:type="paragraph" w:styleId="Footer">
    <w:name w:val="footer"/>
    <w:basedOn w:val="Normal"/>
    <w:link w:val="FooterChar"/>
    <w:uiPriority w:val="99"/>
    <w:unhideWhenUsed/>
    <w:rsid w:val="007808BC"/>
    <w:pPr>
      <w:tabs>
        <w:tab w:val="center" w:pos="4680"/>
        <w:tab w:val="right" w:pos="9360"/>
      </w:tabs>
    </w:pPr>
  </w:style>
  <w:style w:type="character" w:customStyle="1" w:styleId="FooterChar">
    <w:name w:val="Footer Char"/>
    <w:basedOn w:val="DefaultParagraphFont"/>
    <w:link w:val="Footer"/>
    <w:uiPriority w:val="99"/>
    <w:rsid w:val="007808B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E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B4F5-8F8B-4503-B83D-C60C3587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Jones</dc:creator>
  <cp:keywords/>
  <dc:description/>
  <cp:lastModifiedBy>Jill Jones</cp:lastModifiedBy>
  <cp:revision>2</cp:revision>
  <cp:lastPrinted>2025-03-18T19:33:00Z</cp:lastPrinted>
  <dcterms:created xsi:type="dcterms:W3CDTF">2025-12-01T19:53:00Z</dcterms:created>
  <dcterms:modified xsi:type="dcterms:W3CDTF">2025-12-01T19:53:00Z</dcterms:modified>
</cp:coreProperties>
</file>